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52" w:rsidRPr="00510B52" w:rsidRDefault="00510B52" w:rsidP="00510B52">
      <w:pPr>
        <w:spacing w:after="0" w:line="420" w:lineRule="atLeast"/>
        <w:jc w:val="both"/>
        <w:rPr>
          <w:rFonts w:ascii="Lora" w:eastAsia="Times New Roman" w:hAnsi="Lora" w:cs="Times New Roman"/>
          <w:color w:val="535353"/>
          <w:sz w:val="36"/>
          <w:szCs w:val="36"/>
          <w:lang w:eastAsia="ru-RU"/>
        </w:rPr>
      </w:pPr>
      <w:r w:rsidRPr="00510B52">
        <w:rPr>
          <w:rFonts w:ascii="Lora" w:eastAsia="Times New Roman" w:hAnsi="Lora" w:cs="Times New Roman"/>
          <w:color w:val="535353"/>
          <w:sz w:val="36"/>
          <w:szCs w:val="36"/>
          <w:lang w:eastAsia="ru-RU"/>
        </w:rPr>
        <w:t>Тарифы 2021 </w:t>
      </w:r>
    </w:p>
    <w:tbl>
      <w:tblPr>
        <w:tblW w:w="5000" w:type="pct"/>
        <w:tblCellSpacing w:w="15" w:type="dxa"/>
        <w:tblBorders>
          <w:top w:val="single" w:sz="12" w:space="0" w:color="9A8974"/>
          <w:left w:val="single" w:sz="12" w:space="0" w:color="9A8974"/>
          <w:bottom w:val="single" w:sz="12" w:space="0" w:color="9A8974"/>
          <w:right w:val="single" w:sz="12" w:space="0" w:color="9A8974"/>
        </w:tblBorders>
        <w:tblCellMar>
          <w:left w:w="0" w:type="dxa"/>
          <w:right w:w="0" w:type="dxa"/>
        </w:tblCellMar>
        <w:tblLook w:val="04A0"/>
      </w:tblPr>
      <w:tblGrid>
        <w:gridCol w:w="5184"/>
        <w:gridCol w:w="4808"/>
      </w:tblGrid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КАТЕГОРИЯ НОМЕРА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val="en-US"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val="en-US" w:eastAsia="ru-RU"/>
              </w:rPr>
              <w:t>Best Available Room Rates (BAR)  </w:t>
            </w:r>
          </w:p>
        </w:tc>
      </w:tr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Номер Deluxe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  <w:t>560 AZN</w:t>
            </w:r>
          </w:p>
        </w:tc>
      </w:tr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Junior Suite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  <w:t>800 AZN</w:t>
            </w:r>
          </w:p>
        </w:tc>
      </w:tr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Deluxe Suite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  <w:t>1050 AZN</w:t>
            </w:r>
          </w:p>
        </w:tc>
      </w:tr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Executive Suite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  <w:t>1190 AZN</w:t>
            </w:r>
          </w:p>
        </w:tc>
      </w:tr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Presidential Suite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  <w:t>3950 AZN</w:t>
            </w:r>
          </w:p>
        </w:tc>
      </w:tr>
      <w:tr w:rsidR="00510B52" w:rsidRPr="00510B52" w:rsidTr="00510B52">
        <w:trPr>
          <w:tblCellSpacing w:w="15" w:type="dxa"/>
        </w:trPr>
        <w:tc>
          <w:tcPr>
            <w:tcW w:w="2574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b/>
                <w:bCs/>
                <w:color w:val="828282"/>
                <w:sz w:val="23"/>
                <w:szCs w:val="23"/>
                <w:lang w:eastAsia="ru-RU"/>
              </w:rPr>
              <w:t>Вилла </w:t>
            </w:r>
          </w:p>
        </w:tc>
        <w:tc>
          <w:tcPr>
            <w:tcW w:w="2386" w:type="pct"/>
            <w:tcBorders>
              <w:top w:val="single" w:sz="6" w:space="0" w:color="9A8974"/>
              <w:left w:val="single" w:sz="6" w:space="0" w:color="9A8974"/>
              <w:bottom w:val="single" w:sz="6" w:space="0" w:color="9A8974"/>
              <w:right w:val="single" w:sz="6" w:space="0" w:color="9A8974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10B52" w:rsidRPr="00510B52" w:rsidRDefault="00510B52" w:rsidP="00510B52">
            <w:pPr>
              <w:spacing w:after="0" w:line="420" w:lineRule="atLeast"/>
              <w:jc w:val="center"/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</w:pPr>
            <w:r w:rsidRPr="00510B52">
              <w:rPr>
                <w:rFonts w:ascii="Lora" w:eastAsia="Times New Roman" w:hAnsi="Lora" w:cs="Times New Roman"/>
                <w:color w:val="828282"/>
                <w:sz w:val="23"/>
                <w:szCs w:val="23"/>
                <w:lang w:eastAsia="ru-RU"/>
              </w:rPr>
              <w:t>5130 AZN</w:t>
            </w:r>
          </w:p>
        </w:tc>
      </w:tr>
    </w:tbl>
    <w:p w:rsidR="00510B52" w:rsidRPr="00510B52" w:rsidRDefault="00510B52" w:rsidP="0051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51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hyperlink r:id="rId5" w:history="1">
        <w:r w:rsidRPr="00510B52">
          <w:rPr>
            <w:rFonts w:ascii="Roboto" w:eastAsia="Times New Roman" w:hAnsi="Roboto" w:cs="Times New Roman"/>
            <w:color w:val="9A8974"/>
            <w:sz w:val="24"/>
            <w:szCs w:val="24"/>
            <w:lang w:val="en-US" w:eastAsia="ru-RU"/>
          </w:rPr>
          <w:t>SPECIAL OFFER DELUXE CHENOT PALACE 01.09.2021-31.12.2021</w:t>
        </w:r>
      </w:hyperlink>
      <w:r w:rsidRPr="0051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</w:p>
    <w:p w:rsidR="00510B52" w:rsidRPr="00510B52" w:rsidRDefault="00510B52" w:rsidP="00510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6" w:history="1">
        <w:r w:rsidRPr="00510B52">
          <w:rPr>
            <w:rFonts w:ascii="Roboto" w:eastAsia="Times New Roman" w:hAnsi="Roboto" w:cs="Times New Roman"/>
            <w:color w:val="9A8974"/>
            <w:sz w:val="24"/>
            <w:szCs w:val="24"/>
            <w:lang w:val="en-US" w:eastAsia="ru-RU"/>
          </w:rPr>
          <w:t>SPECIAL OFFER JUNIOR SUITE CHENOT PALACE 01.09.2021-31.12.2021</w:t>
        </w:r>
      </w:hyperlink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Тарифы указаны в AZN, за ночь при одноместном / двухместном размещении и включают НДС 18%, без учета муниципального налога (в размере 1.30 AZN с человека за ночь). 3-х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разовое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детокс-питание входит в стоимость программы.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Бронирование проживания возможно исключительно с одной из оздоровительных программ по методу Анри Шено.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b/>
          <w:bCs/>
          <w:color w:val="535353"/>
          <w:sz w:val="26"/>
          <w:szCs w:val="26"/>
          <w:lang w:eastAsia="ru-RU"/>
        </w:rPr>
        <w:t>Стоимость оздоровительных программ</w:t>
      </w:r>
      <w:proofErr w:type="gramStart"/>
      <w:r w:rsidRPr="00510B52">
        <w:rPr>
          <w:rFonts w:ascii="Roboto" w:eastAsia="Times New Roman" w:hAnsi="Roboto" w:cs="Times New Roman"/>
          <w:b/>
          <w:bCs/>
          <w:color w:val="535353"/>
          <w:sz w:val="26"/>
          <w:szCs w:val="26"/>
          <w:lang w:eastAsia="ru-RU"/>
        </w:rPr>
        <w:t xml:space="preserve"> :</w:t>
      </w:r>
      <w:proofErr w:type="gramEnd"/>
    </w:p>
    <w:p w:rsidR="00510B52" w:rsidRPr="00510B52" w:rsidRDefault="00510B52" w:rsidP="00510B52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Основная детокс программа Анри Шено (7 ночей): 6000 AZN</w:t>
      </w:r>
    </w:p>
    <w:p w:rsidR="00510B52" w:rsidRPr="00510B52" w:rsidRDefault="00510B52" w:rsidP="00510B52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Углубленная детокс программа Анри Шено (7 ночей): 6800 AZN</w:t>
      </w:r>
    </w:p>
    <w:p w:rsidR="00510B52" w:rsidRPr="00510B52" w:rsidRDefault="00510B52" w:rsidP="00510B52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Превентивная анти-возрастная программа Анри Шено (7 ночей): 8600 AZN</w:t>
      </w:r>
    </w:p>
    <w:p w:rsidR="00510B52" w:rsidRPr="00510B52" w:rsidRDefault="00510B52" w:rsidP="00510B52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Антистресс и энергетическая программа Анри Шено (7 ночей): 9200 AZN</w:t>
      </w:r>
    </w:p>
    <w:p w:rsidR="00510B52" w:rsidRPr="00510B52" w:rsidRDefault="00510B52" w:rsidP="00510B52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Программа оптимизации метаболизма и потери лишнего веса (14 ночей): 15200 AZN</w:t>
      </w:r>
    </w:p>
    <w:p w:rsidR="00510B52" w:rsidRPr="00510B52" w:rsidRDefault="00510B52" w:rsidP="00510B52">
      <w:pPr>
        <w:numPr>
          <w:ilvl w:val="0"/>
          <w:numId w:val="1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3-дневный активный детокс Анри Шено (3 ночи): 3160 AZN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b/>
          <w:bCs/>
          <w:i/>
          <w:iCs/>
          <w:color w:val="535353"/>
          <w:sz w:val="26"/>
          <w:szCs w:val="26"/>
          <w:lang w:eastAsia="ru-RU"/>
        </w:rPr>
        <w:t>Стоимость программы указана для 1 человека и включает НДС 18%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hyperlink r:id="rId7" w:history="1">
        <w:r w:rsidRPr="00510B52">
          <w:rPr>
            <w:rFonts w:ascii="Roboto" w:eastAsia="Times New Roman" w:hAnsi="Roboto" w:cs="Times New Roman"/>
            <w:b/>
            <w:bCs/>
            <w:color w:val="9A8974"/>
            <w:sz w:val="26"/>
            <w:lang w:eastAsia="ru-RU"/>
          </w:rPr>
          <w:t>Подробное описание каждой программы</w:t>
        </w:r>
      </w:hyperlink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b/>
          <w:bCs/>
          <w:color w:val="535353"/>
          <w:sz w:val="26"/>
          <w:szCs w:val="26"/>
          <w:lang w:eastAsia="ru-RU"/>
        </w:rPr>
        <w:t>ПОЛИТИКА АННУЛЯЦИИ</w:t>
      </w:r>
    </w:p>
    <w:p w:rsidR="00510B52" w:rsidRPr="00510B52" w:rsidRDefault="00510B52" w:rsidP="00510B5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- за 20 дней до заезда: взимается штраф в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размере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20% общей стоимости бронирования;</w:t>
      </w:r>
    </w:p>
    <w:p w:rsidR="00510B52" w:rsidRPr="00510B52" w:rsidRDefault="00510B52" w:rsidP="00510B5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- за 14 дней до заезда: взимается штраф в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размере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50% общей стоимости бронирования;</w:t>
      </w:r>
    </w:p>
    <w:p w:rsidR="00510B52" w:rsidRPr="00510B52" w:rsidRDefault="00510B52" w:rsidP="00510B5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lastRenderedPageBreak/>
        <w:t xml:space="preserve">- за 7 дней до заезда или взимается штраф в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размере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80% общей стоимости бронирования;</w:t>
      </w:r>
    </w:p>
    <w:p w:rsidR="00510B52" w:rsidRPr="00510B52" w:rsidRDefault="00510B52" w:rsidP="00510B52">
      <w:pPr>
        <w:numPr>
          <w:ilvl w:val="0"/>
          <w:numId w:val="2"/>
        </w:numPr>
        <w:shd w:val="clear" w:color="auto" w:fill="FFFFFF"/>
        <w:spacing w:after="0" w:line="375" w:lineRule="atLeast"/>
        <w:ind w:left="300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- за 1 день до заезда или взимается штраф в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размере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100% общей стоимости бронирования;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В случае досрочного выезда стоимость программы и проживания не компенсируются.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Бронирование может быть изменено без штрафных санкций не позднее, чем за 14 дней до даты приезда гостей. В случае изменения в бронировании менее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,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чем за 14 дней – взимается штраф 4000 AZN с каждого человека.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Тарифы указаны в EURO и включают 18% НДС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Начисляется муниципальный налог в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размере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0,71 Евро с человека в сутки.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Пожалуйста, примите во внимание, что в </w:t>
      </w:r>
      <w:proofErr w:type="gramStart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случае</w:t>
      </w:r>
      <w:proofErr w:type="gramEnd"/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 xml:space="preserve"> раннего отъезда отель вправе потребовать полную оплату стоимости забронированных ранее ночей.</w:t>
      </w:r>
    </w:p>
    <w:p w:rsidR="00510B52" w:rsidRPr="00510B52" w:rsidRDefault="00510B52" w:rsidP="00510B52">
      <w:pPr>
        <w:shd w:val="clear" w:color="auto" w:fill="FFFFFF"/>
        <w:spacing w:after="0" w:line="375" w:lineRule="atLeast"/>
        <w:jc w:val="both"/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</w:pPr>
      <w:r w:rsidRPr="00510B52">
        <w:rPr>
          <w:rFonts w:ascii="Roboto" w:eastAsia="Times New Roman" w:hAnsi="Roboto" w:cs="Times New Roman"/>
          <w:color w:val="535353"/>
          <w:sz w:val="26"/>
          <w:szCs w:val="26"/>
          <w:lang w:eastAsia="ru-RU"/>
        </w:rPr>
        <w:t>В случае изменений в бронировании за 14 и менее дней до заезда, взимается штраф в размере 2000 € (две тысячи евро) с каждого человека.</w:t>
      </w:r>
    </w:p>
    <w:p w:rsidR="00DB7E59" w:rsidRDefault="00DB7E59"/>
    <w:sectPr w:rsidR="00DB7E59" w:rsidSect="00A043CF"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A3"/>
    <w:multiLevelType w:val="multilevel"/>
    <w:tmpl w:val="C526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A78C0"/>
    <w:multiLevelType w:val="multilevel"/>
    <w:tmpl w:val="207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10B52"/>
    <w:rsid w:val="00216E09"/>
    <w:rsid w:val="002371D4"/>
    <w:rsid w:val="00253198"/>
    <w:rsid w:val="00504CD0"/>
    <w:rsid w:val="00510B52"/>
    <w:rsid w:val="00A043CF"/>
    <w:rsid w:val="00DB7E59"/>
    <w:rsid w:val="00E36606"/>
    <w:rsid w:val="00E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0B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s-vitae.ru/upload/iblock/6fc/6fcd83c996957b43b10d28f79432f06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-vitae.ru/upload/iblock/4d6/4d63d4f86a279966c0350fc67e17a790.pdf" TargetMode="External"/><Relationship Id="rId5" Type="http://schemas.openxmlformats.org/officeDocument/2006/relationships/hyperlink" Target="http://ars-vitae.ru/upload/iblock/eea/eea5e4998159c5ccec3714f2d5bb377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2021-10-19T08:52:00Z</dcterms:created>
  <dcterms:modified xsi:type="dcterms:W3CDTF">2021-10-19T08:52:00Z</dcterms:modified>
</cp:coreProperties>
</file>